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</w:t>
      </w:r>
      <w:r w:rsidR="00787D66">
        <w:rPr>
          <w:rFonts w:ascii="Liberation Serif" w:hAnsi="Liberation Serif" w:cs="Liberation Serif"/>
          <w:b/>
          <w:i/>
          <w:sz w:val="24"/>
          <w:szCs w:val="24"/>
        </w:rPr>
        <w:t>всероссийская</w:t>
      </w:r>
      <w:proofErr w:type="spellEnd"/>
      <w:r w:rsidR="00787D66">
        <w:rPr>
          <w:rFonts w:ascii="Liberation Serif" w:hAnsi="Liberation Serif" w:cs="Liberation Serif"/>
          <w:b/>
          <w:i/>
          <w:sz w:val="24"/>
          <w:szCs w:val="24"/>
        </w:rPr>
        <w:t xml:space="preserve"> проверочная </w:t>
      </w:r>
      <w:proofErr w:type="spellStart"/>
      <w:r w:rsidR="00787D66">
        <w:rPr>
          <w:rFonts w:ascii="Liberation Serif" w:hAnsi="Liberation Serif" w:cs="Liberation Serif"/>
          <w:b/>
          <w:i/>
          <w:sz w:val="24"/>
          <w:szCs w:val="24"/>
        </w:rPr>
        <w:t>работа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___________________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</w:t>
      </w:r>
      <w:proofErr w:type="spellEnd"/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</w:t>
      </w:r>
      <w:r w:rsidR="00787D66">
        <w:rPr>
          <w:rFonts w:ascii="Liberation Serif" w:hAnsi="Liberation Serif" w:cs="Liberation Serif"/>
          <w:sz w:val="24"/>
          <w:szCs w:val="24"/>
        </w:rPr>
        <w:t>история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_________________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Класс_______</w:t>
      </w:r>
      <w:r w:rsidR="00787D66">
        <w:rPr>
          <w:rFonts w:ascii="Liberation Serif" w:hAnsi="Liberation Serif" w:cs="Liberation Serif"/>
          <w:sz w:val="24"/>
          <w:szCs w:val="24"/>
        </w:rPr>
        <w:t>9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Учитель___</w:t>
      </w:r>
      <w:r w:rsidR="00787D66">
        <w:rPr>
          <w:rFonts w:ascii="Liberation Serif" w:hAnsi="Liberation Serif" w:cs="Liberation Serif"/>
          <w:sz w:val="24"/>
          <w:szCs w:val="24"/>
        </w:rPr>
        <w:t>Шмакова</w:t>
      </w:r>
      <w:proofErr w:type="spellEnd"/>
      <w:r w:rsidR="00787D66">
        <w:rPr>
          <w:rFonts w:ascii="Liberation Serif" w:hAnsi="Liberation Serif" w:cs="Liberation Serif"/>
          <w:sz w:val="24"/>
          <w:szCs w:val="24"/>
        </w:rPr>
        <w:t xml:space="preserve"> Елена Николаевна</w:t>
      </w:r>
      <w:r w:rsidRPr="00F442AE">
        <w:rPr>
          <w:rFonts w:ascii="Liberation Serif" w:hAnsi="Liberation Serif" w:cs="Liberation Serif"/>
          <w:sz w:val="24"/>
          <w:szCs w:val="24"/>
        </w:rPr>
        <w:t>_________________</w:t>
      </w:r>
    </w:p>
    <w:tbl>
      <w:tblPr>
        <w:tblStyle w:val="a3"/>
        <w:tblW w:w="15310" w:type="dxa"/>
        <w:tblInd w:w="-318" w:type="dxa"/>
        <w:tblLook w:val="04A0"/>
      </w:tblPr>
      <w:tblGrid>
        <w:gridCol w:w="2889"/>
        <w:gridCol w:w="2507"/>
        <w:gridCol w:w="4124"/>
        <w:gridCol w:w="5790"/>
      </w:tblGrid>
      <w:tr w:rsidR="00042CDF" w:rsidRPr="00F442AE" w:rsidTr="00DB5F88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604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4555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5262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042CDF" w:rsidRPr="00F442AE" w:rsidTr="00DB5F88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bookmarkStart w:id="0" w:name="_GoBack" w:colFirst="0" w:colLast="0"/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60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4555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5262" w:type="dxa"/>
            <w:vAlign w:val="center"/>
          </w:tcPr>
          <w:p w:rsidR="00787D66" w:rsidRDefault="00787D66" w:rsidP="00787D6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«через порог» не отмечается.</w:t>
            </w:r>
          </w:p>
          <w:p w:rsidR="003C54EB" w:rsidRDefault="003C54EB" w:rsidP="00787D6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Понизили результат 1 обучающийся (33,3%)</w:t>
            </w:r>
          </w:p>
          <w:p w:rsidR="00787D66" w:rsidRDefault="003C54EB" w:rsidP="00787D6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Подтвердили свой результат 1 обучающийся (33,3%).</w:t>
            </w:r>
          </w:p>
          <w:p w:rsidR="003C54EB" w:rsidRDefault="003C54EB" w:rsidP="00787D6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Повысили свой результат 1 обучающийся (33,3%)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2CDF" w:rsidRPr="00F442AE" w:rsidTr="00DB5F88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60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55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5262" w:type="dxa"/>
          </w:tcPr>
          <w:p w:rsidR="00B425DB" w:rsidRPr="00F442AE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425DB" w:rsidRPr="00F442AE" w:rsidRDefault="00787D66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Распределение по первичным баллам гармоничное. Ситуаций, когда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учащиеся «хорошо» решают сложные задания, но не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решают простые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нет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Выхода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 за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данный доверительный «диапазон» нет Результаты стабильны.</w:t>
            </w:r>
          </w:p>
        </w:tc>
      </w:tr>
      <w:tr w:rsidR="00042CDF" w:rsidRPr="00F442AE" w:rsidTr="00DB5F88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</w:t>
            </w: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604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График решаемости, сравнение с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«коридором решаемости» (ОГЭ, ЕГЭ)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,Д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55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5262" w:type="dxa"/>
          </w:tcPr>
          <w:p w:rsidR="003C54EB" w:rsidRPr="00191F96" w:rsidRDefault="003C54EB" w:rsidP="003C54E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1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191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справились с заданием №5 (0) и № 10 (22%)</w:t>
            </w:r>
          </w:p>
          <w:p w:rsidR="003C54EB" w:rsidRPr="00191F96" w:rsidRDefault="003C54EB" w:rsidP="003C54E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Смысловое чтение.</w:t>
            </w:r>
            <w:r w:rsidRPr="00191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Умения искать, анализировать, сопоставлять и оценивать содержащуюся в различных источниках информацию о событиях и явлениях прошлого и настоящего </w:t>
            </w:r>
            <w:r w:rsidRPr="00191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</w:t>
            </w:r>
          </w:p>
          <w:p w:rsidR="003C54EB" w:rsidRPr="00191F96" w:rsidRDefault="003C54EB" w:rsidP="003C54E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 </w:t>
            </w:r>
            <w:r w:rsidRPr="00191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2CDF" w:rsidRPr="00F442AE" w:rsidTr="00DB5F88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60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4555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5262" w:type="dxa"/>
          </w:tcPr>
          <w:p w:rsidR="00B425DB" w:rsidRPr="00F442AE" w:rsidRDefault="003C54E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обучающийся (33,3</w:t>
            </w:r>
            <w:r w:rsidR="0031785E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) находится в зоне риска по истории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положительная.</w:t>
            </w:r>
          </w:p>
        </w:tc>
      </w:tr>
      <w:tr w:rsidR="00042CDF" w:rsidRPr="00F442AE" w:rsidTr="00DB5F88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60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4555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62" w:type="dxa"/>
          </w:tcPr>
          <w:tbl>
            <w:tblPr>
              <w:tblStyle w:val="a3"/>
              <w:tblW w:w="5000" w:type="pct"/>
              <w:tblLook w:val="04A0"/>
            </w:tblPr>
            <w:tblGrid>
              <w:gridCol w:w="1193"/>
              <w:gridCol w:w="1432"/>
              <w:gridCol w:w="1409"/>
              <w:gridCol w:w="1530"/>
            </w:tblGrid>
            <w:tr w:rsidR="00042CDF" w:rsidRPr="00F442AE" w:rsidTr="00F53C0C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422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Обучающиеся</w:t>
                  </w:r>
                </w:p>
                <w:p w:rsidR="00EF4457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(количество или </w:t>
                  </w:r>
                  <w:proofErr w:type="spellStart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пофамильно</w:t>
                  </w:r>
                  <w:proofErr w:type="spellEnd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81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F442AE" w:rsidRDefault="00C1080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113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042CDF" w:rsidRPr="00F442AE" w:rsidTr="00F53C0C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3C54EB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81" w:type="pct"/>
                </w:tcPr>
                <w:p w:rsidR="00BC2D59" w:rsidRPr="00F442AE" w:rsidRDefault="003C54EB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13" w:type="pct"/>
                </w:tcPr>
                <w:p w:rsidR="00BC2D59" w:rsidRPr="00F442AE" w:rsidRDefault="003C54EB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</w:tr>
            <w:tr w:rsidR="00042CDF" w:rsidRPr="00F442AE" w:rsidTr="00F53C0C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31785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 обучающийся</w:t>
                  </w:r>
                </w:p>
              </w:tc>
              <w:tc>
                <w:tcPr>
                  <w:tcW w:w="1281" w:type="pct"/>
                </w:tcPr>
                <w:p w:rsidR="00BC2D59" w:rsidRPr="00DB5F88" w:rsidRDefault="00DB5F88" w:rsidP="00DB5F88">
                  <w:pPr>
                    <w:pStyle w:val="a5"/>
                    <w:shd w:val="clear" w:color="auto" w:fill="FFFFFF"/>
                    <w:spacing w:before="0" w:beforeAutospacing="0" w:after="150" w:afterAutospacing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</w:t>
                  </w:r>
                  <w:r w:rsidRPr="00DB5F88">
                    <w:rPr>
                      <w:color w:val="000000"/>
                      <w:sz w:val="18"/>
                      <w:szCs w:val="18"/>
                    </w:rPr>
                    <w:t xml:space="preserve">нание исторической географии и умение </w:t>
                  </w:r>
                  <w:r w:rsidRPr="00DB5F88"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работать с контурной картой. </w:t>
                  </w:r>
                </w:p>
                <w:p w:rsidR="00DB5F88" w:rsidRPr="00DB5F88" w:rsidRDefault="00DB5F88" w:rsidP="00DB5F88">
                  <w:pPr>
                    <w:pStyle w:val="a5"/>
                    <w:shd w:val="clear" w:color="auto" w:fill="FFFFFF"/>
                    <w:spacing w:before="0" w:beforeAutospacing="0" w:after="150" w:afterAutospacing="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В</w:t>
                  </w:r>
                  <w:r w:rsidRPr="00DB5F88">
                    <w:rPr>
                      <w:color w:val="000000"/>
                      <w:sz w:val="18"/>
                      <w:szCs w:val="18"/>
                    </w:rPr>
                    <w:t>ладения простейшими приёмами аргументации</w:t>
                  </w:r>
                </w:p>
                <w:p w:rsidR="00DB5F88" w:rsidRPr="00DB5F88" w:rsidRDefault="00042CDF" w:rsidP="00DB5F88">
                  <w:pPr>
                    <w:pStyle w:val="a5"/>
                    <w:shd w:val="clear" w:color="auto" w:fill="FFFFFF"/>
                    <w:spacing w:before="0" w:beforeAutospacing="0" w:after="150" w:afterAutospacing="0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З</w:t>
                  </w:r>
                  <w:r w:rsidR="00DB5F88" w:rsidRPr="00DB5F88">
                    <w:rPr>
                      <w:color w:val="000000"/>
                      <w:sz w:val="18"/>
                      <w:szCs w:val="18"/>
                    </w:rPr>
                    <w:t>знание</w:t>
                  </w:r>
                  <w:proofErr w:type="spellEnd"/>
                  <w:r w:rsidR="00DB5F88" w:rsidRPr="00DB5F88">
                    <w:rPr>
                      <w:color w:val="000000"/>
                      <w:sz w:val="18"/>
                      <w:szCs w:val="18"/>
                    </w:rPr>
                    <w:t xml:space="preserve"> причин и следствий и умение формулировать положения, содержащие причинно-следственные связи</w:t>
                  </w:r>
                </w:p>
                <w:p w:rsidR="00DB5F88" w:rsidRDefault="00DB5F88" w:rsidP="00DB5F88">
                  <w:pPr>
                    <w:pStyle w:val="a5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</w:t>
                  </w:r>
                  <w:r w:rsidRPr="00DB5F88">
                    <w:rPr>
                      <w:color w:val="000000"/>
                      <w:sz w:val="18"/>
                      <w:szCs w:val="18"/>
                    </w:rPr>
                    <w:t>нание исторических деятелей России и зарубежных стран и умение отбирать исторические факты в соответствии с заданным контекстом</w:t>
                  </w: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>.</w:t>
                  </w:r>
                </w:p>
                <w:p w:rsidR="00DB5F88" w:rsidRPr="00F442AE" w:rsidRDefault="00DB5F88" w:rsidP="00DB5F88">
                  <w:pPr>
                    <w:pStyle w:val="a5"/>
                    <w:shd w:val="clear" w:color="auto" w:fill="FFFFFF"/>
                    <w:spacing w:before="0" w:beforeAutospacing="0" w:after="150" w:afterAutospacing="0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042CDF" w:rsidRDefault="00042CDF" w:rsidP="00042CDF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Усилить </w:t>
                  </w: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работу по развитию умений работать с учебным </w:t>
                  </w: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материалом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Продолжить формирование умений и навыков определять исторические термины и давать им исчерпывающие, точные определения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042CDF" w:rsidRDefault="00042CDF" w:rsidP="00042CDF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Способствовать формированию умений выделять главное в тексте, составлять грамотный письменный ответ на вопрос.</w:t>
                  </w:r>
                </w:p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042CDF" w:rsidRPr="00F442AE" w:rsidTr="00F53C0C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«4»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F53C0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 обучающийся</w:t>
                  </w:r>
                </w:p>
              </w:tc>
              <w:tc>
                <w:tcPr>
                  <w:tcW w:w="1281" w:type="pct"/>
                </w:tcPr>
                <w:p w:rsidR="00BC2D59" w:rsidRPr="00191F96" w:rsidRDefault="00191F96" w:rsidP="00EF445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</w:t>
                  </w:r>
                  <w:r w:rsidRPr="00191F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нание причин и следствий и умение формулировать положения, содержащие причинно-следственные связи</w:t>
                  </w:r>
                </w:p>
                <w:p w:rsidR="00191F96" w:rsidRPr="00191F96" w:rsidRDefault="00191F96" w:rsidP="00EF4457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91F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Умение искать, анализировать, сопоставлять и оценивать содержащуюся </w:t>
                  </w:r>
                  <w:r w:rsidRPr="00191F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в различных источниках информацию</w:t>
                  </w:r>
                </w:p>
              </w:tc>
              <w:tc>
                <w:tcPr>
                  <w:tcW w:w="1113" w:type="pct"/>
                </w:tcPr>
                <w:p w:rsidR="00042CDF" w:rsidRPr="00847ACA" w:rsidRDefault="00042CDF" w:rsidP="00042CDF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Использовать на уроках чаще тестовый материал с повышенным уровнем сложности с целью развития навыков и умений работать с тестовыми заданиями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C2D59" w:rsidRPr="00F442AE" w:rsidRDefault="00042CDF" w:rsidP="00042CDF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Усилить </w:t>
                  </w: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работу по развитию </w:t>
                  </w: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умений работать с учебным материалом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042CDF" w:rsidRPr="00F442AE" w:rsidTr="00F53C0C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«5»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F53C0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 обучающийся</w:t>
                  </w:r>
                </w:p>
              </w:tc>
              <w:tc>
                <w:tcPr>
                  <w:tcW w:w="1281" w:type="pct"/>
                </w:tcPr>
                <w:p w:rsidR="00BC2D59" w:rsidRDefault="00191F96" w:rsidP="00EF445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191F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Умение искать, анализировать, сопоставлять и оценивать содержащуюся в различных источниках информацию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  <w:p w:rsidR="00191F96" w:rsidRPr="00191F96" w:rsidRDefault="00191F96" w:rsidP="00EF4457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</w:t>
                  </w:r>
                  <w:r w:rsidRPr="00191F9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ладения простейшими приёмами аргументации</w:t>
                  </w:r>
                </w:p>
              </w:tc>
              <w:tc>
                <w:tcPr>
                  <w:tcW w:w="1113" w:type="pct"/>
                </w:tcPr>
                <w:p w:rsidR="00042CDF" w:rsidRPr="00847ACA" w:rsidRDefault="00042CDF" w:rsidP="00042CDF">
                  <w:pPr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Использовать на уроках чаще тестовый материал с повышенным уровнем сложности с целью развития навыков и умений работать с тестовыми заданиями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C2D59" w:rsidRPr="00F442AE" w:rsidRDefault="00042CDF" w:rsidP="00042CDF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Усилить </w:t>
                  </w:r>
                  <w:r w:rsidRPr="00EC6E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работу по развитию умений работать с учебным материалом</w:t>
                  </w:r>
                  <w:r w:rsidRPr="00847AC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bookmarkEnd w:id="0"/>
    </w:tbl>
    <w:p w:rsidR="00A93B4F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310" w:type="dxa"/>
        <w:tblInd w:w="-318" w:type="dxa"/>
        <w:tblLook w:val="04A0"/>
      </w:tblPr>
      <w:tblGrid>
        <w:gridCol w:w="1479"/>
        <w:gridCol w:w="2258"/>
        <w:gridCol w:w="2802"/>
        <w:gridCol w:w="909"/>
        <w:gridCol w:w="909"/>
        <w:gridCol w:w="1135"/>
        <w:gridCol w:w="1137"/>
        <w:gridCol w:w="2681"/>
        <w:gridCol w:w="2000"/>
      </w:tblGrid>
      <w:tr w:rsidR="00042CDF" w:rsidRPr="00847ACA" w:rsidTr="00A04FAD">
        <w:tc>
          <w:tcPr>
            <w:tcW w:w="1479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58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учащихся по списку</w:t>
            </w:r>
          </w:p>
        </w:tc>
        <w:tc>
          <w:tcPr>
            <w:tcW w:w="2802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выполнявших</w:t>
            </w:r>
            <w:proofErr w:type="gramEnd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</w:t>
            </w:r>
          </w:p>
        </w:tc>
        <w:tc>
          <w:tcPr>
            <w:tcW w:w="909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2000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042CDF" w:rsidRPr="00847ACA" w:rsidTr="00A04FAD">
        <w:tc>
          <w:tcPr>
            <w:tcW w:w="1479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8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2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9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1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00" w:type="dxa"/>
          </w:tcPr>
          <w:p w:rsidR="00042CDF" w:rsidRPr="00847ACA" w:rsidRDefault="00042CDF" w:rsidP="00A04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66,6%</w:t>
            </w:r>
          </w:p>
        </w:tc>
      </w:tr>
    </w:tbl>
    <w:p w:rsidR="00042CDF" w:rsidRPr="000C4370" w:rsidRDefault="00042CDF" w:rsidP="00042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6CE" w:rsidRPr="007626CE" w:rsidRDefault="00042CDF" w:rsidP="007626C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6CE">
        <w:rPr>
          <w:rFonts w:ascii="Liberation Serif" w:hAnsi="Liberation Serif" w:cs="Liberation Serif"/>
          <w:sz w:val="24"/>
          <w:szCs w:val="24"/>
        </w:rPr>
        <w:t>Анализ показал</w:t>
      </w:r>
      <w:proofErr w:type="gramStart"/>
      <w:r w:rsidRPr="007626CE">
        <w:rPr>
          <w:rFonts w:ascii="Liberation Serif" w:hAnsi="Liberation Serif" w:cs="Liberation Serif"/>
          <w:sz w:val="24"/>
          <w:szCs w:val="24"/>
        </w:rPr>
        <w:t>.</w:t>
      </w:r>
      <w:proofErr w:type="gramEnd"/>
      <w:r w:rsidRPr="007626CE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7626CE">
        <w:rPr>
          <w:rFonts w:ascii="Liberation Serif" w:hAnsi="Liberation Serif" w:cs="Liberation Serif"/>
          <w:sz w:val="24"/>
          <w:szCs w:val="24"/>
        </w:rPr>
        <w:t>ч</w:t>
      </w:r>
      <w:proofErr w:type="gramEnd"/>
      <w:r w:rsidRPr="007626CE">
        <w:rPr>
          <w:rFonts w:ascii="Liberation Serif" w:hAnsi="Liberation Serif" w:cs="Liberation Serif"/>
          <w:sz w:val="24"/>
          <w:szCs w:val="24"/>
        </w:rPr>
        <w:t>то 100%  учащиеся обучающихся справились с работой. Качество знаний 66.6 %.</w:t>
      </w:r>
      <w:r w:rsidR="007626CE" w:rsidRPr="007626CE">
        <w:rPr>
          <w:rFonts w:ascii="Liberation Serif" w:hAnsi="Liberation Serif" w:cs="Liberation Serif"/>
          <w:sz w:val="24"/>
          <w:szCs w:val="24"/>
        </w:rPr>
        <w:t xml:space="preserve"> Наибольшие затруднения вызвали задания на </w:t>
      </w:r>
      <w:r w:rsidR="007626CE" w:rsidRPr="007626CE">
        <w:rPr>
          <w:rFonts w:ascii="Times New Roman" w:hAnsi="Times New Roman" w:cs="Times New Roman"/>
          <w:color w:val="000000"/>
          <w:sz w:val="24"/>
          <w:szCs w:val="24"/>
        </w:rPr>
        <w:t>умение искать, анализировать, сопоставлять и оценивать содержащуюся в различных источниках информацию, на знание причин и следствий и умение формулировать положения, содержащие причинно-следственные связи</w:t>
      </w:r>
      <w:proofErr w:type="gramStart"/>
      <w:r w:rsidR="007626CE" w:rsidRPr="007626CE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7626CE" w:rsidRPr="007626CE">
        <w:rPr>
          <w:rFonts w:ascii="Times New Roman" w:hAnsi="Times New Roman" w:cs="Times New Roman"/>
          <w:color w:val="000000"/>
          <w:sz w:val="24"/>
          <w:szCs w:val="24"/>
        </w:rPr>
        <w:t xml:space="preserve"> на умение искать, анализировать, сопоставлять и оценивать содержащуюся в различных источниках информацию. Результаты этих работ ниже результатов </w:t>
      </w:r>
      <w:proofErr w:type="spellStart"/>
      <w:r w:rsidR="007626CE" w:rsidRPr="007626CE">
        <w:rPr>
          <w:rFonts w:ascii="Times New Roman" w:hAnsi="Times New Roman" w:cs="Times New Roman"/>
          <w:color w:val="000000"/>
          <w:sz w:val="24"/>
          <w:szCs w:val="24"/>
        </w:rPr>
        <w:t>Нижнетуринского</w:t>
      </w:r>
      <w:proofErr w:type="spellEnd"/>
      <w:r w:rsidR="007626CE" w:rsidRPr="007626CE">
        <w:rPr>
          <w:rFonts w:ascii="Times New Roman" w:hAnsi="Times New Roman" w:cs="Times New Roman"/>
          <w:color w:val="000000"/>
          <w:sz w:val="24"/>
          <w:szCs w:val="24"/>
        </w:rPr>
        <w:t xml:space="preserve">  городского округа и регионального.</w:t>
      </w:r>
    </w:p>
    <w:p w:rsidR="007626CE" w:rsidRDefault="007626CE" w:rsidP="0076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9 класса хорошо владеют 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7626CE">
        <w:rPr>
          <w:rFonts w:ascii="Calibri" w:eastAsia="Times New Roman" w:hAnsi="Calibri" w:cs="Calibri"/>
          <w:color w:val="000000"/>
        </w:rPr>
        <w:br/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Умеют  определять понятия, создавать обобщения, устанавливать аналогии,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классифицировать.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626CE" w:rsidRPr="00B83AE3" w:rsidRDefault="007626CE" w:rsidP="0076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Умеют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создавать, применять и преобразовывать знаки и символы, модели и схемы для решения у</w:t>
      </w:r>
      <w:r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 и познавательных задач.</w:t>
      </w:r>
      <w:r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Владеют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</w:t>
      </w:r>
      <w:r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учной и культурной сферах</w:t>
      </w:r>
      <w:proofErr w:type="gramStart"/>
      <w:r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</w:t>
      </w:r>
      <w:proofErr w:type="gramEnd"/>
      <w:r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меют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</w:r>
      <w:r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626CE" w:rsidRPr="00B83AE3" w:rsidRDefault="007626CE" w:rsidP="007626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Умеют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создавать, применять и преобразовывать знаки и символы, модели и схемы для решения учебных и познавательных задач.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</w:t>
      </w:r>
      <w:r w:rsidR="00B83AE3"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ой сферах</w:t>
      </w:r>
      <w:proofErr w:type="gramStart"/>
      <w:r w:rsidR="00B83AE3"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</w:t>
      </w:r>
      <w:proofErr w:type="gramEnd"/>
      <w:r w:rsidR="00B83AE3" w:rsidRP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спользуют</w:t>
      </w:r>
      <w:r w:rsidRPr="007626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</w:r>
      <w:r w:rsid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Процент выполнения этих заданий выше, чем по </w:t>
      </w:r>
      <w:proofErr w:type="spellStart"/>
      <w:r w:rsidR="00B83AE3">
        <w:rPr>
          <w:rFonts w:ascii="Times New Roman" w:eastAsia="Times New Roman" w:hAnsi="Times New Roman" w:cs="Times New Roman"/>
          <w:color w:val="000000"/>
          <w:sz w:val="24"/>
          <w:szCs w:val="24"/>
        </w:rPr>
        <w:t>Нижне</w:t>
      </w:r>
      <w:r w:rsidR="00EC70D5">
        <w:rPr>
          <w:rFonts w:ascii="Times New Roman" w:eastAsia="Times New Roman" w:hAnsi="Times New Roman" w:cs="Times New Roman"/>
          <w:color w:val="000000"/>
          <w:sz w:val="24"/>
          <w:szCs w:val="24"/>
        </w:rPr>
        <w:t>туринскому</w:t>
      </w:r>
      <w:proofErr w:type="spellEnd"/>
      <w:r w:rsidR="00EC7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району и Свердловской области.</w:t>
      </w:r>
    </w:p>
    <w:p w:rsidR="007626CE" w:rsidRPr="00B83AE3" w:rsidRDefault="007626C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26CE" w:rsidRPr="00B83AE3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12"/>
  </w:num>
  <w:num w:numId="10">
    <w:abstractNumId w:val="5"/>
  </w:num>
  <w:num w:numId="11">
    <w:abstractNumId w:val="11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3B4F"/>
    <w:rsid w:val="00042CDF"/>
    <w:rsid w:val="0005497C"/>
    <w:rsid w:val="000D0717"/>
    <w:rsid w:val="000E5FD2"/>
    <w:rsid w:val="000F6FDF"/>
    <w:rsid w:val="00191F96"/>
    <w:rsid w:val="001D4AA5"/>
    <w:rsid w:val="002B205D"/>
    <w:rsid w:val="00302577"/>
    <w:rsid w:val="0031785E"/>
    <w:rsid w:val="00351E6E"/>
    <w:rsid w:val="0035536D"/>
    <w:rsid w:val="003C54EB"/>
    <w:rsid w:val="00470448"/>
    <w:rsid w:val="004C0C8A"/>
    <w:rsid w:val="00546CC0"/>
    <w:rsid w:val="00561481"/>
    <w:rsid w:val="005B46F5"/>
    <w:rsid w:val="005C760A"/>
    <w:rsid w:val="005D7161"/>
    <w:rsid w:val="00615A6F"/>
    <w:rsid w:val="00670696"/>
    <w:rsid w:val="007248C4"/>
    <w:rsid w:val="0076107C"/>
    <w:rsid w:val="007626CE"/>
    <w:rsid w:val="00787D66"/>
    <w:rsid w:val="007C50DB"/>
    <w:rsid w:val="007D2640"/>
    <w:rsid w:val="0087216D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B425DB"/>
    <w:rsid w:val="00B50CC8"/>
    <w:rsid w:val="00B83AE3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51846"/>
    <w:rsid w:val="00D54569"/>
    <w:rsid w:val="00D628A6"/>
    <w:rsid w:val="00DB5F88"/>
    <w:rsid w:val="00DD58FB"/>
    <w:rsid w:val="00E00E59"/>
    <w:rsid w:val="00EC70D5"/>
    <w:rsid w:val="00EF4457"/>
    <w:rsid w:val="00F442AE"/>
    <w:rsid w:val="00F53C0C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06451-1275-452B-AA70-CD5FB655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Анатолий Шмаков</cp:lastModifiedBy>
  <cp:revision>2</cp:revision>
  <dcterms:created xsi:type="dcterms:W3CDTF">2020-11-28T08:23:00Z</dcterms:created>
  <dcterms:modified xsi:type="dcterms:W3CDTF">2020-11-28T08:23:00Z</dcterms:modified>
</cp:coreProperties>
</file>